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B7B2" w14:textId="77777777" w:rsidR="00102FE2" w:rsidRPr="00102FE2" w:rsidRDefault="00102FE2" w:rsidP="00102FE2">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102FE2">
        <w:rPr>
          <w:rFonts w:ascii="Verdana" w:eastAsia="Times New Roman" w:hAnsi="Verdana" w:cs="Times New Roman"/>
          <w:color w:val="CC3300"/>
          <w:kern w:val="36"/>
          <w:sz w:val="36"/>
          <w:szCs w:val="36"/>
          <w:lang w:eastAsia="fr-BE"/>
        </w:rPr>
        <w:t>Fonderie Aluminium du Poitou : les expéditions bloquées</w:t>
      </w:r>
    </w:p>
    <w:p w14:paraId="676B26A0" w14:textId="77777777" w:rsidR="00102FE2" w:rsidRDefault="00102FE2" w:rsidP="00102FE2">
      <w:pPr>
        <w:shd w:val="clear" w:color="auto" w:fill="FFFFFF"/>
        <w:spacing w:before="75" w:after="75" w:line="240" w:lineRule="auto"/>
        <w:jc w:val="both"/>
        <w:rPr>
          <w:rFonts w:ascii="Verdana" w:eastAsia="Times New Roman" w:hAnsi="Verdana" w:cs="Times New Roman"/>
          <w:color w:val="3E001F"/>
          <w:sz w:val="30"/>
          <w:szCs w:val="30"/>
          <w:lang w:eastAsia="fr-BE"/>
        </w:rPr>
      </w:pPr>
    </w:p>
    <w:p w14:paraId="11306DB5" w14:textId="47BAE189" w:rsidR="00102FE2" w:rsidRPr="00102FE2" w:rsidRDefault="00102FE2" w:rsidP="00102FE2">
      <w:pPr>
        <w:shd w:val="clear" w:color="auto" w:fill="FFFFFF"/>
        <w:spacing w:before="75" w:after="75" w:line="240" w:lineRule="auto"/>
        <w:jc w:val="both"/>
        <w:rPr>
          <w:rFonts w:ascii="Verdana" w:eastAsia="Times New Roman" w:hAnsi="Verdana" w:cs="Times New Roman"/>
          <w:color w:val="000000"/>
          <w:sz w:val="23"/>
          <w:szCs w:val="23"/>
          <w:lang w:eastAsia="fr-BE"/>
        </w:rPr>
      </w:pPr>
      <w:r w:rsidRPr="00102FE2">
        <w:rPr>
          <w:rFonts w:ascii="Verdana" w:eastAsia="Times New Roman" w:hAnsi="Verdana" w:cs="Times New Roman"/>
          <w:color w:val="000000"/>
          <w:sz w:val="23"/>
          <w:szCs w:val="23"/>
          <w:lang w:eastAsia="fr-BE"/>
        </w:rPr>
        <w:t>Ingrandes-sur-Vienne.- Les salariés de la </w:t>
      </w:r>
      <w:r w:rsidRPr="00102FE2">
        <w:rPr>
          <w:rFonts w:ascii="Verdana" w:eastAsia="Times New Roman" w:hAnsi="Verdana" w:cs="Times New Roman"/>
          <w:b/>
          <w:bCs/>
          <w:color w:val="000000"/>
          <w:sz w:val="23"/>
          <w:szCs w:val="23"/>
          <w:lang w:eastAsia="fr-BE"/>
        </w:rPr>
        <w:t>Fonderie Aluminium du Poitou</w:t>
      </w:r>
      <w:r w:rsidRPr="00102FE2">
        <w:rPr>
          <w:rFonts w:ascii="Verdana" w:eastAsia="Times New Roman" w:hAnsi="Verdana" w:cs="Times New Roman"/>
          <w:color w:val="000000"/>
          <w:sz w:val="23"/>
          <w:szCs w:val="23"/>
          <w:lang w:eastAsia="fr-BE"/>
        </w:rPr>
        <w:t> ont décidé de bloquer jusqu’à nouvel ordre les expéditions de pièces pour faire pression sur Renault, son principal client.</w:t>
      </w:r>
    </w:p>
    <w:p w14:paraId="09ED6D22" w14:textId="77777777" w:rsidR="00102FE2" w:rsidRPr="00102FE2" w:rsidRDefault="00102FE2" w:rsidP="00102FE2">
      <w:pPr>
        <w:shd w:val="clear" w:color="auto" w:fill="FFFFFF"/>
        <w:spacing w:before="75" w:after="75" w:line="240" w:lineRule="auto"/>
        <w:jc w:val="both"/>
        <w:rPr>
          <w:rFonts w:ascii="Verdana" w:eastAsia="Times New Roman" w:hAnsi="Verdana" w:cs="Times New Roman"/>
          <w:color w:val="000000"/>
          <w:sz w:val="23"/>
          <w:szCs w:val="23"/>
          <w:lang w:eastAsia="fr-BE"/>
        </w:rPr>
      </w:pPr>
      <w:r w:rsidRPr="00102FE2">
        <w:rPr>
          <w:rFonts w:ascii="Verdana" w:eastAsia="Times New Roman" w:hAnsi="Verdana" w:cs="Times New Roman"/>
          <w:color w:val="000000"/>
          <w:sz w:val="23"/>
          <w:szCs w:val="23"/>
          <w:lang w:eastAsia="fr-BE"/>
        </w:rPr>
        <w:t> </w:t>
      </w:r>
    </w:p>
    <w:p w14:paraId="74807A8E" w14:textId="77777777" w:rsidR="00102FE2" w:rsidRPr="00102FE2" w:rsidRDefault="00102FE2" w:rsidP="00102FE2">
      <w:pPr>
        <w:shd w:val="clear" w:color="auto" w:fill="FFFFFF"/>
        <w:spacing w:before="75" w:after="75" w:line="240" w:lineRule="auto"/>
        <w:jc w:val="both"/>
        <w:rPr>
          <w:rFonts w:ascii="Verdana" w:eastAsia="Times New Roman" w:hAnsi="Verdana" w:cs="Times New Roman"/>
          <w:color w:val="000000"/>
          <w:sz w:val="23"/>
          <w:szCs w:val="23"/>
          <w:lang w:eastAsia="fr-BE"/>
        </w:rPr>
      </w:pPr>
      <w:r w:rsidRPr="00102FE2">
        <w:rPr>
          <w:rFonts w:ascii="Verdana" w:eastAsia="Times New Roman" w:hAnsi="Verdana" w:cs="Times New Roman"/>
          <w:color w:val="000000"/>
          <w:sz w:val="23"/>
          <w:szCs w:val="23"/>
          <w:lang w:eastAsia="fr-BE"/>
        </w:rPr>
        <w:t>Ces derniers ont, en effet, appris que le constructeur français prévoyait de faire fabriquer la culasse HR18 en Turquie. Outre, les commandes en cours, il n’y en aurait plus d’autres de la part de Renault, ce qui signifie la fermeture de la fonderie - un sort subi par sa consœur la Fonderie du Poitou Fonte, en juillet.</w:t>
      </w:r>
    </w:p>
    <w:p w14:paraId="7FEA852E" w14:textId="77777777" w:rsidR="00102FE2" w:rsidRPr="00102FE2" w:rsidRDefault="00102FE2" w:rsidP="00102FE2">
      <w:pPr>
        <w:shd w:val="clear" w:color="auto" w:fill="FFFFFF"/>
        <w:spacing w:before="75" w:after="75" w:line="240" w:lineRule="auto"/>
        <w:jc w:val="both"/>
        <w:rPr>
          <w:rFonts w:ascii="Verdana" w:eastAsia="Times New Roman" w:hAnsi="Verdana" w:cs="Times New Roman"/>
          <w:color w:val="000000"/>
          <w:sz w:val="23"/>
          <w:szCs w:val="23"/>
          <w:lang w:eastAsia="fr-BE"/>
        </w:rPr>
      </w:pPr>
      <w:r w:rsidRPr="00102FE2">
        <w:rPr>
          <w:rFonts w:ascii="Verdana" w:eastAsia="Times New Roman" w:hAnsi="Verdana" w:cs="Times New Roman"/>
          <w:color w:val="000000"/>
          <w:sz w:val="23"/>
          <w:szCs w:val="23"/>
          <w:lang w:eastAsia="fr-BE"/>
        </w:rPr>
        <w:t>La Fonderie Alu est en redressement judiciaire depuis avril 2020 et a jusqu’au 20 octobre pour trouver un repreneur. Mais aucun ne s’est manifesté pour l’instant. L’avenir de la fonderie est en question dans un contexte de moins en moins favorable aux moteurs thermiques mais, selon le rapport Roland Berger, commandé pour dégager des pistes de reconversion, une voie de sortie existe du côté des pièces de liaison au sol pour les véhicules électriques, « </w:t>
      </w:r>
      <w:r w:rsidRPr="00102FE2">
        <w:rPr>
          <w:rFonts w:ascii="Verdana" w:eastAsia="Times New Roman" w:hAnsi="Verdana" w:cs="Times New Roman"/>
          <w:i/>
          <w:iCs/>
          <w:color w:val="000000"/>
          <w:sz w:val="23"/>
          <w:szCs w:val="23"/>
          <w:lang w:eastAsia="fr-BE"/>
        </w:rPr>
        <w:t>à horizon 2025, voire 2030</w:t>
      </w:r>
      <w:r w:rsidRPr="00102FE2">
        <w:rPr>
          <w:rFonts w:ascii="Verdana" w:eastAsia="Times New Roman" w:hAnsi="Verdana" w:cs="Times New Roman"/>
          <w:color w:val="000000"/>
          <w:sz w:val="23"/>
          <w:szCs w:val="23"/>
          <w:lang w:eastAsia="fr-BE"/>
        </w:rPr>
        <w:t xml:space="preserve"> ». Mais pour cela, le soutien de Renault est indispensable afin </w:t>
      </w:r>
      <w:proofErr w:type="gramStart"/>
      <w:r w:rsidRPr="00102FE2">
        <w:rPr>
          <w:rFonts w:ascii="Verdana" w:eastAsia="Times New Roman" w:hAnsi="Verdana" w:cs="Times New Roman"/>
          <w:color w:val="000000"/>
          <w:sz w:val="23"/>
          <w:szCs w:val="23"/>
          <w:lang w:eastAsia="fr-BE"/>
        </w:rPr>
        <w:t>de</w:t>
      </w:r>
      <w:proofErr w:type="gramEnd"/>
      <w:r w:rsidRPr="00102FE2">
        <w:rPr>
          <w:rFonts w:ascii="Verdana" w:eastAsia="Times New Roman" w:hAnsi="Verdana" w:cs="Times New Roman"/>
          <w:color w:val="000000"/>
          <w:sz w:val="23"/>
          <w:szCs w:val="23"/>
          <w:lang w:eastAsia="fr-BE"/>
        </w:rPr>
        <w:t xml:space="preserve"> garantir un chiffre d’affaires de 30 millions d’euros jusqu’en 2025. L’intersyndicale a obtenu un accord de principe pour une table ronde qui rassemblerait l’Etat, Renault, les auteurs du rapport Roland Berger, la direction, les syndicats et les administrateurs judiciaires. En attendant qu’une date soit fixée, les salariés maintiennent le blocage des expéditions. </w:t>
      </w:r>
    </w:p>
    <w:p w14:paraId="63042F9E" w14:textId="77777777" w:rsidR="00BF7257" w:rsidRDefault="00BF7257"/>
    <w:sectPr w:rsidR="00BF7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E2"/>
    <w:rsid w:val="00086BC8"/>
    <w:rsid w:val="00102FE2"/>
    <w:rsid w:val="00633CB8"/>
    <w:rsid w:val="00BF72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50FE"/>
  <w15:chartTrackingRefBased/>
  <w15:docId w15:val="{4B61E54D-494D-448B-8035-6BDFE84E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1264</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2021-09-28T07:49:00Z</dcterms:created>
  <dcterms:modified xsi:type="dcterms:W3CDTF">2021-09-28T07:50:00Z</dcterms:modified>
</cp:coreProperties>
</file>